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>
    <v:background id="_x0000_s1025" o:bwmode="white" fillcolor="#d8d8d8 [2732]" o:targetscreensize="1024,768">
      <v:fill color2="#bdd6ee [1300]" focus="-50%" type="gradient"/>
    </v:background>
  </w:background>
  <w:body>
    <w:p w:rsidR="00D67289" w:rsidRDefault="00B27630" w:rsidP="003C2D30">
      <w:pPr>
        <w:ind w:left="1440"/>
      </w:pPr>
      <w:r>
        <w:rPr>
          <w:rFonts w:ascii="Arial" w:hAnsi="Arial" w:cs="Arial"/>
          <w:noProof/>
        </w:rPr>
        <w:drawing>
          <wp:inline distT="0" distB="0" distL="0" distR="0" wp14:anchorId="2F07BB38" wp14:editId="56A613A2">
            <wp:extent cx="6258798" cy="4010585"/>
            <wp:effectExtent l="19050" t="19050" r="8890" b="285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ersons With Any Kind of Disability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8798" cy="4010585"/>
                    </a:xfrm>
                    <a:prstGeom prst="rect">
                      <a:avLst/>
                    </a:prstGeom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2D30" w:rsidRDefault="003C2D30" w:rsidP="003C2D30">
      <w:pPr>
        <w:ind w:left="1440"/>
      </w:pPr>
    </w:p>
    <w:p w:rsidR="00B27630" w:rsidRPr="003C2D30" w:rsidRDefault="00B27630" w:rsidP="00B2763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C2D30">
        <w:rPr>
          <w:rFonts w:ascii="Arial" w:hAnsi="Arial" w:cs="Arial"/>
          <w:sz w:val="24"/>
          <w:szCs w:val="24"/>
        </w:rPr>
        <w:t xml:space="preserve">Number of People with Disabilities – </w:t>
      </w:r>
      <w:r w:rsidRPr="003C2D30">
        <w:rPr>
          <w:rFonts w:ascii="Arial" w:hAnsi="Arial" w:cs="Arial"/>
          <w:b/>
          <w:sz w:val="24"/>
          <w:szCs w:val="24"/>
        </w:rPr>
        <w:t xml:space="preserve">42,989 </w:t>
      </w:r>
      <w:r w:rsidRPr="003C2D30">
        <w:rPr>
          <w:rFonts w:ascii="Arial" w:hAnsi="Arial" w:cs="Arial"/>
          <w:sz w:val="24"/>
          <w:szCs w:val="24"/>
        </w:rPr>
        <w:t>(16.3% of population) (ACS 2019 5yr)</w:t>
      </w:r>
    </w:p>
    <w:p w:rsidR="00B27630" w:rsidRPr="003C2D30" w:rsidRDefault="00B27630" w:rsidP="00B27630">
      <w:pPr>
        <w:ind w:left="720"/>
        <w:rPr>
          <w:rFonts w:ascii="Arial" w:hAnsi="Arial" w:cs="Arial"/>
          <w:sz w:val="24"/>
          <w:szCs w:val="24"/>
        </w:rPr>
      </w:pPr>
      <w:r w:rsidRPr="003C2D30">
        <w:rPr>
          <w:rFonts w:ascii="Arial" w:hAnsi="Arial" w:cs="Arial"/>
          <w:sz w:val="24"/>
          <w:szCs w:val="24"/>
        </w:rPr>
        <w:t xml:space="preserve">-65 to 74 years – </w:t>
      </w:r>
      <w:r w:rsidRPr="003C2D30">
        <w:rPr>
          <w:rFonts w:ascii="Arial" w:hAnsi="Arial" w:cs="Arial"/>
          <w:b/>
          <w:sz w:val="24"/>
          <w:szCs w:val="24"/>
        </w:rPr>
        <w:t>8,440</w:t>
      </w:r>
      <w:r w:rsidRPr="003C2D30">
        <w:rPr>
          <w:rFonts w:ascii="Arial" w:hAnsi="Arial" w:cs="Arial"/>
          <w:sz w:val="24"/>
          <w:szCs w:val="24"/>
        </w:rPr>
        <w:t xml:space="preserve"> (27.4% of this age group)</w:t>
      </w:r>
    </w:p>
    <w:p w:rsidR="00B27630" w:rsidRPr="003C2D30" w:rsidRDefault="00B27630" w:rsidP="00B27630">
      <w:pPr>
        <w:rPr>
          <w:rFonts w:ascii="Arial" w:hAnsi="Arial" w:cs="Arial"/>
          <w:sz w:val="24"/>
          <w:szCs w:val="24"/>
        </w:rPr>
      </w:pPr>
      <w:r w:rsidRPr="003C2D30">
        <w:rPr>
          <w:rFonts w:ascii="Arial" w:hAnsi="Arial" w:cs="Arial"/>
          <w:sz w:val="24"/>
          <w:szCs w:val="24"/>
        </w:rPr>
        <w:tab/>
        <w:t xml:space="preserve">-75 years and over – </w:t>
      </w:r>
      <w:r w:rsidRPr="003C2D30">
        <w:rPr>
          <w:rFonts w:ascii="Arial" w:hAnsi="Arial" w:cs="Arial"/>
          <w:b/>
          <w:sz w:val="24"/>
          <w:szCs w:val="24"/>
        </w:rPr>
        <w:t>10,119</w:t>
      </w:r>
      <w:r w:rsidRPr="003C2D30">
        <w:rPr>
          <w:rFonts w:ascii="Arial" w:hAnsi="Arial" w:cs="Arial"/>
          <w:sz w:val="24"/>
          <w:szCs w:val="24"/>
        </w:rPr>
        <w:t xml:space="preserve"> (52.6% of this age group)</w:t>
      </w:r>
    </w:p>
    <w:p w:rsidR="00B27630" w:rsidRPr="003C2D30" w:rsidRDefault="00B27630" w:rsidP="00B2763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C2D30">
        <w:rPr>
          <w:rFonts w:ascii="Arial" w:hAnsi="Arial" w:cs="Arial"/>
          <w:sz w:val="24"/>
          <w:szCs w:val="24"/>
        </w:rPr>
        <w:t xml:space="preserve">Age 18 and over with an independent living difficulty – </w:t>
      </w:r>
      <w:r w:rsidRPr="003C2D30">
        <w:rPr>
          <w:rFonts w:ascii="Arial" w:hAnsi="Arial" w:cs="Arial"/>
          <w:b/>
          <w:sz w:val="24"/>
          <w:szCs w:val="24"/>
        </w:rPr>
        <w:t>14,306</w:t>
      </w:r>
    </w:p>
    <w:p w:rsidR="00B27630" w:rsidRPr="003C2D30" w:rsidRDefault="00B27630" w:rsidP="00B27630">
      <w:pPr>
        <w:pStyle w:val="ListParagraph"/>
        <w:rPr>
          <w:rFonts w:ascii="Arial" w:hAnsi="Arial" w:cs="Arial"/>
          <w:sz w:val="24"/>
          <w:szCs w:val="24"/>
        </w:rPr>
      </w:pPr>
    </w:p>
    <w:p w:rsidR="00B27630" w:rsidRPr="003C2D30" w:rsidRDefault="00B27630" w:rsidP="00CB4DB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C2D30">
        <w:rPr>
          <w:rFonts w:ascii="Arial" w:hAnsi="Arial" w:cs="Arial"/>
          <w:sz w:val="24"/>
          <w:szCs w:val="24"/>
        </w:rPr>
        <w:t xml:space="preserve">Adults who have any limitations in any activities, due to physical, mental, or emotional problems, (2014-2016 OHA BRFSS data):  </w:t>
      </w:r>
      <w:r w:rsidR="00CB4DB3" w:rsidRPr="003C2D30">
        <w:rPr>
          <w:rFonts w:ascii="Arial" w:hAnsi="Arial" w:cs="Arial"/>
          <w:b/>
          <w:sz w:val="24"/>
          <w:szCs w:val="24"/>
        </w:rPr>
        <w:t>Region</w:t>
      </w:r>
      <w:r w:rsidRPr="003C2D30">
        <w:rPr>
          <w:rFonts w:ascii="Arial" w:hAnsi="Arial" w:cs="Arial"/>
          <w:b/>
          <w:sz w:val="24"/>
          <w:szCs w:val="24"/>
        </w:rPr>
        <w:t xml:space="preserve"> – 27.0%</w:t>
      </w:r>
      <w:r w:rsidRPr="003C2D30">
        <w:rPr>
          <w:rFonts w:ascii="Arial" w:hAnsi="Arial" w:cs="Arial"/>
          <w:sz w:val="24"/>
          <w:szCs w:val="24"/>
        </w:rPr>
        <w:t xml:space="preserve">  (age adjusted) (Benton – 22</w:t>
      </w:r>
      <w:r w:rsidR="00280198" w:rsidRPr="003C2D30">
        <w:rPr>
          <w:rFonts w:ascii="Arial" w:hAnsi="Arial" w:cs="Arial"/>
          <w:sz w:val="24"/>
          <w:szCs w:val="24"/>
        </w:rPr>
        <w:t xml:space="preserve"> x</w:t>
      </w:r>
      <w:r w:rsidRPr="003C2D30">
        <w:rPr>
          <w:rFonts w:ascii="Arial" w:hAnsi="Arial" w:cs="Arial"/>
          <w:sz w:val="24"/>
          <w:szCs w:val="24"/>
        </w:rPr>
        <w:t>.7%, Lincoln – 28.9%, Linn – 29.5%; Oregon – 25.1%)</w:t>
      </w:r>
    </w:p>
    <w:sectPr w:rsidR="00B27630" w:rsidRPr="003C2D30" w:rsidSect="00E4488D"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A4E8A"/>
    <w:multiLevelType w:val="hybridMultilevel"/>
    <w:tmpl w:val="B734C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075933"/>
    <w:multiLevelType w:val="hybridMultilevel"/>
    <w:tmpl w:val="1BCA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630"/>
    <w:rsid w:val="00280198"/>
    <w:rsid w:val="003C2D30"/>
    <w:rsid w:val="00402022"/>
    <w:rsid w:val="007C56E9"/>
    <w:rsid w:val="00A7140B"/>
    <w:rsid w:val="00B27630"/>
    <w:rsid w:val="00CB4DB3"/>
    <w:rsid w:val="00D67289"/>
    <w:rsid w:val="00E4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31B774-3F75-4E35-A456-9D22C307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630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Lucker</dc:creator>
  <cp:keywords/>
  <dc:description/>
  <cp:lastModifiedBy>Kimberly Cooper</cp:lastModifiedBy>
  <cp:revision>5</cp:revision>
  <dcterms:created xsi:type="dcterms:W3CDTF">2021-01-13T16:06:00Z</dcterms:created>
  <dcterms:modified xsi:type="dcterms:W3CDTF">2021-01-26T19:24:00Z</dcterms:modified>
</cp:coreProperties>
</file>